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D2" w:rsidRPr="00E96ED2" w:rsidRDefault="00E96ED2" w:rsidP="00E9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bookmarkStart w:id="0" w:name="_GoBack"/>
      <w:bookmarkEnd w:id="0"/>
    </w:p>
    <w:p w:rsidR="00E96ED2" w:rsidRPr="00E96ED2" w:rsidRDefault="00E96ED2" w:rsidP="00E96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tr-TR"/>
        </w:rPr>
        <w:t xml:space="preserve">A Potential Bilateral Consumer Enforcement Cooperation Mechanism for B2C E-Commerce between the UK and </w:t>
      </w:r>
      <w:proofErr w:type="spellStart"/>
      <w:r w:rsidRPr="00E96E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tr-TR"/>
        </w:rPr>
        <w:t>Türkiye</w:t>
      </w:r>
      <w:proofErr w:type="spellEnd"/>
    </w:p>
    <w:p w:rsidR="00E96ED2" w:rsidRPr="00E96ED2" w:rsidRDefault="00E96ED2" w:rsidP="00E96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GB" w:eastAsia="tr-TR"/>
        </w:rPr>
        <w:t>Introduction</w:t>
      </w:r>
    </w:p>
    <w:p w:rsidR="00E96ED2" w:rsidRP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As </w:t>
      </w:r>
      <w:proofErr w:type="spellStart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Türkiye</w:t>
      </w:r>
      <w:proofErr w:type="spellEnd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and the United Kingdom pursue negotiations towards a comprehensive Free Trade Agreement (FTA), both Parties have a shared interest in deepening cooperation in digital trade and ensuring consumer trust in cross-border e-commerce. </w:t>
      </w:r>
    </w:p>
    <w:p w:rsidR="00E96ED2" w:rsidRP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With B2C (business-to-consumer) digital transactions expanding rapidly, protecting consumers from unfair practices, fraud, and low-quality goods or services is vital for the integrity and sustainability of digital commerce.</w:t>
      </w:r>
    </w:p>
    <w:p w:rsid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Despite significant growth in e-commerce between the UK and </w:t>
      </w:r>
      <w:proofErr w:type="spellStart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Türkiye</w:t>
      </w:r>
      <w:proofErr w:type="spellEnd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the absence of a structured bilateral enforcement mechanism leaves consumers vulnerable to unresolved complaints and undermines confidence in cross-border purchases. </w:t>
      </w:r>
    </w:p>
    <w:p w:rsidR="00E96ED2" w:rsidRP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Addressing this gap would not only enhance consumer trust, but also promote fairness and stability in the digital marketplace, benefiting legitimate businesses in both countries.</w:t>
      </w:r>
    </w:p>
    <w:p w:rsidR="00E96ED2" w:rsidRPr="00E96ED2" w:rsidRDefault="00E96ED2" w:rsidP="00E96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GB" w:eastAsia="tr-TR"/>
        </w:rPr>
        <w:t>Objectives</w:t>
      </w:r>
    </w:p>
    <w:p w:rsidR="00E96ED2" w:rsidRP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proofErr w:type="spellStart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Türkiye</w:t>
      </w:r>
      <w:proofErr w:type="spellEnd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is interested in including in the FTA a framework for </w:t>
      </w: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mutual cooperation and coordination in consumer protection enforcement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related to </w:t>
      </w: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cross-border B2C e-commerce</w:t>
      </w:r>
      <w:r w:rsidR="006F45A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 (with some possible sectoral exclusions)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. The goal is to build a </w:t>
      </w: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transparent, accessible, and fair digital trade environment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through shared institutional mechanisms that:</w:t>
      </w:r>
    </w:p>
    <w:p w:rsidR="00E96ED2" w:rsidRPr="00E96ED2" w:rsidRDefault="00E96ED2" w:rsidP="00E96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Facilitate information exchange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between national consumer protection bodies on complaints, investigations, and systemic risks in cross-border e-commerce;</w:t>
      </w:r>
    </w:p>
    <w:p w:rsidR="00E96ED2" w:rsidRPr="00E96ED2" w:rsidRDefault="00E96ED2" w:rsidP="00E96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Enable the referral of consumer complaints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to competent authorities in the other Party in a structured and timely manner;</w:t>
      </w:r>
    </w:p>
    <w:p w:rsidR="00E96ED2" w:rsidRPr="00E96ED2" w:rsidRDefault="00E96ED2" w:rsidP="00E96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Promote mutual recognition or cooperation between Alternative Dispute Resolution (ADR) bodies</w:t>
      </w:r>
      <w:r w:rsidR="006F45A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 (if needed after establishment of such bodies) 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to ease access to redress for consumers;</w:t>
      </w:r>
    </w:p>
    <w:p w:rsidR="00E96ED2" w:rsidRPr="00E96ED2" w:rsidRDefault="00E96ED2" w:rsidP="00E96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Support coordinated actions or awareness-raising campaigns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in response to common enforcement challenges (e.g. misleading advertisements, counterfeit goods, or unsafe digital products);</w:t>
      </w:r>
    </w:p>
    <w:p w:rsidR="00E96ED2" w:rsidRPr="00E96ED2" w:rsidRDefault="00E96ED2" w:rsidP="00E96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Enhance trust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among consumers and traders by </w:t>
      </w:r>
      <w:proofErr w:type="spellStart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signaling</w:t>
      </w:r>
      <w:proofErr w:type="spellEnd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that both countries uphold high standards of consumer protection in the digital space.</w:t>
      </w:r>
    </w:p>
    <w:p w:rsidR="00E96ED2" w:rsidRPr="00E96ED2" w:rsidRDefault="00E96ED2" w:rsidP="00E96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GB" w:eastAsia="tr-TR"/>
        </w:rPr>
        <w:t>Proposed Mechanism: Key Features</w:t>
      </w:r>
    </w:p>
    <w:p w:rsidR="00E96ED2" w:rsidRP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proofErr w:type="spellStart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Türkiye</w:t>
      </w:r>
      <w:proofErr w:type="spellEnd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proposes the establishment of a </w:t>
      </w: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bilateral consumer enforcement cooperation mechanism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embedded in the FTA’s digital trade </w:t>
      </w:r>
      <w:r w:rsidR="006F45AA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and/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or consumer protection chapter, with the following elements:</w:t>
      </w:r>
    </w:p>
    <w:p w:rsidR="00E96ED2" w:rsidRPr="00E96ED2" w:rsidRDefault="00E96ED2" w:rsidP="00E96E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lastRenderedPageBreak/>
        <w:t>Designated Contact Points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: Both Parties would nominate competent consumer protection authorities to serve as liaison bodies for the referral and coordination of cross-border complaints.</w:t>
      </w:r>
    </w:p>
    <w:p w:rsidR="00E96ED2" w:rsidRPr="00E96ED2" w:rsidRDefault="00E96ED2" w:rsidP="00E96E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Information Sharing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: The mechanism would facilitate non-confidential exchange of information about consumer complaints, enforcement actions, and regulatory developments concerning cross-border e-commerce.</w:t>
      </w:r>
    </w:p>
    <w:p w:rsidR="00E96ED2" w:rsidRPr="00E96ED2" w:rsidRDefault="00E96ED2" w:rsidP="00E96E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Complaint Referral Protocol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: A formal channel for the referral of unresolved consumer complaints between </w:t>
      </w:r>
      <w:proofErr w:type="spellStart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Türkiye’s</w:t>
      </w:r>
      <w:proofErr w:type="spellEnd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and the UK’s consumer protection authorities, with agreed response timelines.</w:t>
      </w:r>
    </w:p>
    <w:p w:rsidR="00E96ED2" w:rsidRPr="00E96ED2" w:rsidRDefault="00E96ED2" w:rsidP="00E96E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ADR Cooperation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: Encouragement of cooperation and, where appropriate, mutual recognition between the Parties’ ADR bodies or online dispute resolution platforms.</w:t>
      </w:r>
    </w:p>
    <w:p w:rsidR="00E96ED2" w:rsidRPr="00E96ED2" w:rsidRDefault="00E96ED2" w:rsidP="00E96E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Confidentiality and Legal Compliance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: All cooperation would be subject to each Party’s national laws on data protection, privacy, and legal privilege.</w:t>
      </w:r>
    </w:p>
    <w:p w:rsidR="00E96ED2" w:rsidRPr="00E96ED2" w:rsidRDefault="00E96ED2" w:rsidP="00E96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GB" w:eastAsia="tr-TR"/>
        </w:rPr>
        <w:t>International Best Practices and Precedents</w:t>
      </w:r>
    </w:p>
    <w:p w:rsid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The proposed mechanism is consistent with international best practices as promoted by the </w:t>
      </w: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OECD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</w:t>
      </w: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UNCTAD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, and </w:t>
      </w: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ICPEN (International Consumer Protection and Enforcement Network)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. </w:t>
      </w:r>
      <w:proofErr w:type="spellStart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Türkiye</w:t>
      </w:r>
      <w:proofErr w:type="spellEnd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notes the precedent of </w:t>
      </w:r>
      <w:r w:rsidRPr="00E96E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MOUs signed between the U.S. Federal Trade Commission and the UK Competition and Markets Authority</w:t>
      </w:r>
      <w:r w:rsidR="006F45AA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in enhancing cross-border enforcement cooperation in consumer protection.</w:t>
      </w:r>
    </w:p>
    <w:p w:rsidR="00E96ED2" w:rsidRP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Even though there is no exact counterpart institution of UK International Consumer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Center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(UKICC),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Türkiye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is also interested in exploring how UKICC cooperates with its counterparts in other countries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in the EU, Norway, Japan or Mongolia)</w:t>
      </w:r>
      <w:r w:rsidR="006F45AA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.</w:t>
      </w:r>
    </w:p>
    <w:p w:rsidR="00E96ED2" w:rsidRPr="00E96ED2" w:rsidRDefault="00E96ED2" w:rsidP="00E96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GB" w:eastAsia="tr-TR"/>
        </w:rPr>
      </w:pPr>
      <w:r w:rsidRPr="00E96ED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GB" w:eastAsia="tr-TR"/>
        </w:rPr>
        <w:t>Conclusion and Next Steps</w:t>
      </w:r>
    </w:p>
    <w:p w:rsidR="00E96ED2" w:rsidRP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proofErr w:type="spellStart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Türkiye</w:t>
      </w:r>
      <w:proofErr w:type="spellEnd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views consumer trust as a cornerstone of inclusive and resilient digital trade. The proposed bilateral cooperation mechanism would demonstrate </w:t>
      </w:r>
      <w:proofErr w:type="spellStart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Türkiye’s</w:t>
      </w:r>
      <w:proofErr w:type="spellEnd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and the UK’s joint commitment to protecting consumers and encouraging responsible e-commerce across borders.</w:t>
      </w:r>
    </w:p>
    <w:p w:rsid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proofErr w:type="spellStart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Türkiye</w:t>
      </w:r>
      <w:proofErr w:type="spellEnd"/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invites the UK to consider this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non-paper </w:t>
      </w:r>
      <w:r w:rsidRPr="00E96ED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as a foundation for discussion during the FTA negotiations and stands ready to work toward a mutually beneficial solution that strengthens consumer protection and enhances digital trade between our two countries.</w:t>
      </w:r>
    </w:p>
    <w:p w:rsidR="00E96ED2" w:rsidRDefault="00E96ED2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Based on the intentions set out in this non-paper </w:t>
      </w:r>
      <w:proofErr w:type="spellStart"/>
      <w:r w:rsidRPr="009835B0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Türkiye</w:t>
      </w:r>
      <w:proofErr w:type="spellEnd"/>
      <w:r w:rsidRPr="009835B0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will prepare an official negotiating text for “Online Consumer Protection” Article</w:t>
      </w: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(the placement of which will be discussed further</w:t>
      </w:r>
      <w:r w:rsidR="006F45AA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).</w:t>
      </w:r>
    </w:p>
    <w:p w:rsidR="009835B0" w:rsidRPr="00E96ED2" w:rsidRDefault="009835B0" w:rsidP="00E9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In order to intensify our work on such a text we would kindly ask the UK side to share with us the texts of any similar agreements/arrangements (including the mutual recognition agreements or service contracts of UKICC with its foreign counterparts).</w:t>
      </w:r>
    </w:p>
    <w:p w:rsidR="00E96ED2" w:rsidRPr="00E96ED2" w:rsidRDefault="00E96ED2" w:rsidP="00E9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9F5E12" w:rsidRPr="00E96ED2" w:rsidRDefault="009F5E12">
      <w:pPr>
        <w:rPr>
          <w:sz w:val="24"/>
          <w:szCs w:val="24"/>
          <w:lang w:val="en-GB"/>
        </w:rPr>
      </w:pPr>
    </w:p>
    <w:sectPr w:rsidR="009F5E12" w:rsidRPr="00E96E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36" w:rsidRDefault="00E42736" w:rsidP="00E96ED2">
      <w:pPr>
        <w:spacing w:after="0" w:line="240" w:lineRule="auto"/>
      </w:pPr>
      <w:r>
        <w:separator/>
      </w:r>
    </w:p>
  </w:endnote>
  <w:endnote w:type="continuationSeparator" w:id="0">
    <w:p w:rsidR="00E42736" w:rsidRDefault="00E42736" w:rsidP="00E9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36" w:rsidRDefault="00E42736" w:rsidP="00E96ED2">
      <w:pPr>
        <w:spacing w:after="0" w:line="240" w:lineRule="auto"/>
      </w:pPr>
      <w:r>
        <w:separator/>
      </w:r>
    </w:p>
  </w:footnote>
  <w:footnote w:type="continuationSeparator" w:id="0">
    <w:p w:rsidR="00E42736" w:rsidRDefault="00E42736" w:rsidP="00E9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D2" w:rsidRDefault="00E96ED2" w:rsidP="00E96ED2">
    <w:pPr>
      <w:pStyle w:val="stBilgi"/>
      <w:jc w:val="right"/>
    </w:pPr>
    <w:r>
      <w:t>Non Paper by Türkiye</w:t>
    </w:r>
  </w:p>
  <w:p w:rsidR="00E96ED2" w:rsidRDefault="00732EB9" w:rsidP="00E96ED2">
    <w:pPr>
      <w:pStyle w:val="stBilgi"/>
      <w:jc w:val="right"/>
    </w:pPr>
    <w:r>
      <w:t>…</w:t>
    </w:r>
    <w:r w:rsidR="00E96ED2">
      <w:t xml:space="preserve"> August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62FF0"/>
    <w:multiLevelType w:val="multilevel"/>
    <w:tmpl w:val="B3EE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53CAC"/>
    <w:multiLevelType w:val="multilevel"/>
    <w:tmpl w:val="BAB2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00"/>
    <w:rsid w:val="00175700"/>
    <w:rsid w:val="006F45AA"/>
    <w:rsid w:val="00732EB9"/>
    <w:rsid w:val="009835B0"/>
    <w:rsid w:val="009F5E12"/>
    <w:rsid w:val="00E42736"/>
    <w:rsid w:val="00E96ED2"/>
    <w:rsid w:val="00F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B1926-BB02-4F7A-9E66-470584D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96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E96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96ED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96ED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9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96ED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9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6ED2"/>
  </w:style>
  <w:style w:type="paragraph" w:styleId="AltBilgi">
    <w:name w:val="footer"/>
    <w:basedOn w:val="Normal"/>
    <w:link w:val="AltBilgiChar"/>
    <w:uiPriority w:val="99"/>
    <w:unhideWhenUsed/>
    <w:rsid w:val="00E9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4342</Characters>
  <Application>Microsoft Office Word</Application>
  <DocSecurity>0</DocSecurity>
  <Lines>86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KOŞAN</dc:creator>
  <cp:keywords/>
  <dc:description/>
  <cp:lastModifiedBy>Esra KORKUTAN</cp:lastModifiedBy>
  <cp:revision>2</cp:revision>
  <dcterms:created xsi:type="dcterms:W3CDTF">2025-08-14T11:39:00Z</dcterms:created>
  <dcterms:modified xsi:type="dcterms:W3CDTF">2025-08-14T11:39:00Z</dcterms:modified>
</cp:coreProperties>
</file>